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货物类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21942"/>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4.《示范文本》在政府采购合同中明确约定双方的违约责任。对于因采购人原因导致中止或者终止政府采购合同的，采购人应当依照合同约定对投标人受到的损失予以赔偿或者补偿。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5.《示范文本》提供《政府采购供应商询问函和质疑函范本》，便于投标人通过网上询问、质疑等多种途径反馈诉求，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w:t>
      </w:r>
      <w:r>
        <w:rPr>
          <w:rFonts w:hint="eastAsia" w:ascii="Times New Roman" w:hAnsi="Times New Roman" w:eastAsia="宋体" w:cs="Times New Roman"/>
          <w:kern w:val="0"/>
          <w:sz w:val="24"/>
          <w:szCs w:val="24"/>
          <w:highlight w:val="none"/>
          <w:lang w:eastAsia="zh-CN"/>
        </w:rPr>
        <w:t>投标人</w:t>
      </w:r>
      <w:r>
        <w:rPr>
          <w:rFonts w:ascii="Times New Roman" w:hAnsi="Times New Roman" w:eastAsia="宋体" w:cs="Times New Roman"/>
          <w:kern w:val="0"/>
          <w:sz w:val="24"/>
          <w:szCs w:val="24"/>
          <w:highlight w:val="none"/>
        </w:rPr>
        <w:t>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第二章中“投标人须知前附表”所列条款号与“投标人须知正文”的序号一一对应。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_Toc23443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_Toc23443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_Toc31935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_Toc31935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_Toc10891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_Toc10891 \h </w:instrText>
      </w:r>
      <w:r>
        <w:fldChar w:fldCharType="separate"/>
      </w:r>
      <w:r>
        <w:t>18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_Toc4328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_Toc4328 \h </w:instrText>
      </w:r>
      <w:r>
        <w:fldChar w:fldCharType="separate"/>
      </w:r>
      <w:r>
        <w:t>20</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_Toc16417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_Toc16417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_Toc4682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_Toc4682 \h </w:instrText>
      </w:r>
      <w:r>
        <w:fldChar w:fldCharType="separate"/>
      </w:r>
      <w:r>
        <w:t>28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_Toc22492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_Toc22492 \h </w:instrText>
      </w:r>
      <w:r>
        <w:fldChar w:fldCharType="separate"/>
      </w:r>
      <w:r>
        <w:t>37</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_Toc18131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_Toc18131 \h </w:instrText>
      </w:r>
      <w:r>
        <w:fldChar w:fldCharType="separate"/>
      </w:r>
      <w:r>
        <w:t>53</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344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5842"/>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26178"/>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FF0000"/>
          <w:sz w:val="24"/>
          <w:highlight w:val="none"/>
          <w:lang w:val="en-US" w:eastAsia="zh-CN"/>
        </w:rPr>
        <w:t>（</w:t>
      </w:r>
      <w:r>
        <w:rPr>
          <w:rFonts w:hint="eastAsia" w:asciiTheme="minorEastAsia" w:hAnsiTheme="minorEastAsia" w:eastAsiaTheme="minorEastAsia"/>
          <w:i/>
          <w:iCs/>
          <w:color w:val="FF0000"/>
          <w:sz w:val="24"/>
          <w:highlight w:val="none"/>
          <w:lang w:val="en-US" w:eastAsia="zh-CN"/>
        </w:rPr>
        <w:t>由采购人根据项目专门面向中小企业采购情形填写</w:t>
      </w:r>
      <w:r>
        <w:rPr>
          <w:rFonts w:hint="eastAsia" w:asciiTheme="minorEastAsia" w:hAnsiTheme="minorEastAsia" w:eastAsiaTheme="minorEastAsia"/>
          <w:color w:val="FF0000"/>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9" w:name="_Toc30110"/>
      <w:bookmarkStart w:id="10" w:name="_Toc32089"/>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19726"/>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28531"/>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795"/>
      <w:bookmarkStart w:id="17" w:name="_Toc35393626"/>
      <w:bookmarkStart w:id="18" w:name="_Toc8807"/>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3854"/>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3193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3114"/>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2"/>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3"/>
        <w:gridCol w:w="5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74"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30"/>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30"/>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最低评标价法</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30"/>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44" w:type="pct"/>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（1）采购人与中标人应当自发出中标通知书之日起7个工作日内签订合同，采购合同签订之日起2个工作日内完成政府采购合同公开。</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b/>
                <w:bCs/>
                <w:color w:val="auto"/>
                <w:kern w:val="0"/>
                <w:sz w:val="24"/>
                <w:szCs w:val="24"/>
                <w:highlight w:val="none"/>
              </w:rPr>
            </w:pPr>
            <w:r>
              <w:rPr>
                <w:rFonts w:hint="eastAsia" w:ascii="宋体" w:hAnsi="宋体" w:eastAsia="宋体" w:cs="宋体"/>
                <w:b w:val="0"/>
                <w:bCs w:val="0"/>
                <w:color w:val="auto"/>
                <w:sz w:val="24"/>
                <w:szCs w:val="24"/>
                <w:highlight w:val="none"/>
                <w:lang w:val="en-US" w:eastAsia="zh-CN"/>
              </w:rPr>
              <w:t>（2）采购人与中标人</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30"/>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30"/>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30"/>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30"/>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24882"/>
      <w:bookmarkStart w:id="25" w:name="_Toc14880"/>
      <w:r>
        <w:rPr>
          <w:rFonts w:hint="eastAsia" w:asciiTheme="minorEastAsia" w:hAnsiTheme="minorEastAsia" w:eastAsiaTheme="minorEastAsia"/>
          <w:b/>
          <w:color w:val="auto"/>
          <w:sz w:val="24"/>
          <w:szCs w:val="24"/>
          <w:highlight w:val="none"/>
        </w:rPr>
        <w:t>二、</w:t>
      </w:r>
      <w:r>
        <w:rPr>
          <w:rFonts w:asciiTheme="minorEastAsia" w:hAnsiTheme="minorEastAsia" w:eastAsiaTheme="minorEastAsia"/>
          <w:b/>
          <w:color w:val="auto"/>
          <w:sz w:val="24"/>
          <w:szCs w:val="24"/>
          <w:highlight w:val="none"/>
        </w:rPr>
        <w:t>投标人须知</w:t>
      </w:r>
      <w:r>
        <w:rPr>
          <w:rFonts w:hint="eastAsia" w:asciiTheme="minorEastAsia" w:hAnsiTheme="minorEastAsia" w:eastAsiaTheme="minorEastAsia"/>
          <w:b/>
          <w:color w:val="auto"/>
          <w:sz w:val="24"/>
          <w:szCs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hint="eastAsia" w:asciiTheme="minorEastAsia" w:hAnsiTheme="minorEastAsia" w:eastAsiaTheme="minorEastAsia"/>
          <w:b/>
          <w:color w:val="auto"/>
          <w:sz w:val="24"/>
          <w:highlight w:val="none"/>
          <w:lang w:val="en-US" w:eastAsia="zh-CN"/>
        </w:rPr>
      </w:pPr>
      <w:r>
        <w:rPr>
          <w:rFonts w:hint="eastAsia" w:ascii="宋体" w:hAnsi="宋体" w:eastAsia="宋体"/>
          <w:color w:val="auto"/>
          <w:sz w:val="24"/>
          <w:highlight w:val="none"/>
        </w:rPr>
        <w:t>本项目采购人、采购代理机构、投标人、评标委员会的相关行为均受《中华人民共和国政府采购法》、《中华人民共和国政府采购法实施条例》</w:t>
      </w:r>
      <w:r>
        <w:rPr>
          <w:rFonts w:hint="eastAsia" w:ascii="宋体" w:hAnsi="宋体" w:eastAsia="宋体"/>
          <w:color w:val="auto"/>
          <w:sz w:val="24"/>
          <w:highlight w:val="none"/>
          <w:lang w:val="en-US" w:eastAsia="zh-CN"/>
        </w:rPr>
        <w:t>及</w:t>
      </w:r>
      <w:r>
        <w:rPr>
          <w:rFonts w:hint="eastAsia" w:ascii="宋体" w:hAnsi="宋体" w:eastAsia="宋体"/>
          <w:color w:val="auto"/>
          <w:sz w:val="24"/>
          <w:highlight w:val="none"/>
        </w:rPr>
        <w:t>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5.招标文件构成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，对样品的评审方法及评审标准见招标文件第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6.招标文件的澄清与修改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w:t>
      </w:r>
      <w:r>
        <w:rPr>
          <w:rFonts w:hint="eastAsia" w:asciiTheme="minorEastAsia" w:hAnsiTheme="minorEastAsia" w:eastAsiaTheme="minorEastAsia"/>
          <w:color w:val="auto"/>
          <w:sz w:val="24"/>
          <w:highlight w:val="none"/>
        </w:rPr>
        <w:t>投标人提出的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7.投标范围及投标文件中标准和计量单位的使用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投标人所投货物及伴随的服务和工程均应符合国家强制性标准。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.2如一个分包内只有一种产品，不同投标人所投产品为同一品牌的，按如下方式处理：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.2.1如本项目使用最低评标价法，提供相同品牌产品的不同投标人以其中通过资格审查、符合性审查且报价最低的参加评标；报价相同的，由采购人或者采购人委托评标委员会按照招标文件中评标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规定的方式确定一个参加评标的投标人；未规定的采取随机抽取方式确定，其他投标将被认定为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2.2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规定的方式确定一个投标人获得中标人推荐资格；未规定的采取随机抽取方式确定，其他同品牌投标人不作为中标候选人。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载明核心产品，多家投标人提供的核心产品品牌相同的，按第</w:t>
      </w: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款</w:t>
      </w:r>
      <w:r>
        <w:rPr>
          <w:rFonts w:asciiTheme="minorEastAsia" w:hAnsiTheme="minorEastAsia" w:eastAsiaTheme="minorEastAsia"/>
          <w:color w:val="auto"/>
          <w:sz w:val="24"/>
          <w:highlight w:val="none"/>
        </w:rPr>
        <w:t>规定处理。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asciiTheme="minorEastAsia" w:hAnsiTheme="minorEastAsia" w:eastAsiaTheme="minorEastAsia"/>
          <w:color w:val="auto"/>
          <w:sz w:val="24"/>
          <w:highlight w:val="none"/>
        </w:rPr>
        <w:t>4.2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4.3评标委员会对投标人提交的澄清、说明或补正有疑问的，可以要求投标人进一步澄清、说明或补正，直至满足评标委员会的要求。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5投标文件报价出现前后不一致的，按照下列规定修正：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三部门联合发布关于促进残疾人就业政府采购政策的通知》（财库〔2017〕141号）和《财政部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w:t>
      </w:r>
      <w:r>
        <w:rPr>
          <w:rFonts w:hint="eastAsia" w:ascii="宋体" w:hAnsi="宋体" w:eastAsia="宋体" w:cs="宋体"/>
          <w:b w:val="0"/>
          <w:bCs w:val="0"/>
          <w:color w:val="000000"/>
          <w:kern w:val="2"/>
          <w:sz w:val="24"/>
          <w:szCs w:val="24"/>
          <w:highlight w:val="none"/>
          <w:u w:val="none"/>
          <w:lang w:val="en-US" w:eastAsia="zh-CN" w:bidi="ar-SA"/>
        </w:rPr>
        <w:t>政府采购监督管理部门</w:t>
      </w:r>
      <w:r>
        <w:rPr>
          <w:rFonts w:hint="eastAsia" w:asciiTheme="minorEastAsia" w:hAnsiTheme="minorEastAsia" w:eastAsiaTheme="minorEastAsia"/>
          <w:color w:val="auto"/>
          <w:sz w:val="24"/>
          <w:highlight w:val="none"/>
        </w:rPr>
        <w:t>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则所投产品为节能产品、环境标志产品、不发达地区或少数民族地区产品者优先；若报价相同且所投产品同为节能产品、环境标志产品、不发达地区或少数民族地区产品的，则采取评标委员会随机抽取的方式确定中标候选顺序。</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2）采用综合评分法的，评标结果按评审后得分由高到低顺序排列。得分相同的，按投标报价由低到高顺序排列。得分与投标报价均相同的</w:t>
      </w:r>
      <w:r>
        <w:rPr>
          <w:rFonts w:hint="eastAsia" w:asciiTheme="minorEastAsia" w:hAnsiTheme="minorEastAsia" w:eastAsiaTheme="minorEastAsia"/>
          <w:color w:val="auto"/>
          <w:sz w:val="24"/>
          <w:highlight w:val="none"/>
        </w:rPr>
        <w:t>，则所投产品为节能产品、环境标志产品、不发达地区或少数民族地区产品者优先；若</w:t>
      </w:r>
      <w:r>
        <w:rPr>
          <w:rFonts w:asciiTheme="minorEastAsia" w:hAnsiTheme="minorEastAsia" w:eastAsiaTheme="minorEastAsia"/>
          <w:color w:val="auto"/>
          <w:sz w:val="24"/>
          <w:highlight w:val="none"/>
        </w:rPr>
        <w:t>得分与投标报价均相同</w:t>
      </w:r>
      <w:r>
        <w:rPr>
          <w:rFonts w:hint="eastAsia" w:asciiTheme="minorEastAsia" w:hAnsiTheme="minorEastAsia" w:eastAsiaTheme="minorEastAsia"/>
          <w:color w:val="auto"/>
          <w:sz w:val="24"/>
          <w:highlight w:val="none"/>
        </w:rPr>
        <w:t>且所投产品同为节能产品、环境标志产品、不发达地区或少数民族地区产品的，则采取评标委员会随机抽取的方式确定中标候选顺序。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518923100"/>
      <w:bookmarkStart w:id="30" w:name="_Toc2583661"/>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2583662"/>
      <w:bookmarkStart w:id="32" w:name="_Toc518923101"/>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33" w:name="_Toc10891"/>
      <w:r>
        <w:rPr>
          <w:rFonts w:hint="eastAsia" w:asciiTheme="minorEastAsia" w:hAnsiTheme="minorEastAsia" w:eastAsiaTheme="minorEastAsia"/>
          <w:b/>
          <w:color w:val="auto"/>
          <w:sz w:val="28"/>
          <w:highlight w:val="none"/>
        </w:rPr>
        <w:t>第三章  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，但不限制满足招标文件要求的国内产品参与竞争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w:t>
      </w:r>
      <w:r>
        <w:rPr>
          <w:rFonts w:hint="eastAsia" w:ascii="宋体" w:hAnsi="宋体" w:eastAsia="宋体"/>
          <w:color w:val="auto"/>
          <w:sz w:val="24"/>
          <w:szCs w:val="18"/>
          <w:highlight w:val="none"/>
          <w:lang w:eastAsia="zh-CN"/>
        </w:rPr>
        <w:t>.</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color w:val="auto"/>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highlight w:val="none"/>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32151"/>
      <w:bookmarkStart w:id="35" w:name="_Toc2554"/>
      <w:r>
        <w:rPr>
          <w:rFonts w:hint="eastAsia" w:ascii="宋体" w:hAnsi="宋体" w:eastAsia="宋体"/>
          <w:b/>
          <w:color w:val="auto"/>
          <w:sz w:val="24"/>
          <w:szCs w:val="18"/>
          <w:highlight w:val="none"/>
        </w:rPr>
        <w:t>一、采购需求前附表</w:t>
      </w:r>
      <w:bookmarkEnd w:id="34"/>
      <w:bookmarkEnd w:id="35"/>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6" w:name="_Toc5944"/>
      <w:bookmarkStart w:id="37" w:name="_Toc7671"/>
      <w:r>
        <w:rPr>
          <w:rFonts w:hint="eastAsia" w:ascii="宋体" w:hAnsi="宋体" w:eastAsia="宋体"/>
          <w:b/>
          <w:bCs/>
          <w:color w:val="auto"/>
          <w:sz w:val="24"/>
          <w:szCs w:val="18"/>
          <w:highlight w:val="none"/>
        </w:rPr>
        <w:t>二、</w:t>
      </w:r>
      <w:r>
        <w:rPr>
          <w:rFonts w:hint="eastAsia" w:ascii="宋体" w:hAnsi="宋体" w:eastAsia="宋体"/>
          <w:b/>
          <w:color w:val="auto"/>
          <w:sz w:val="24"/>
          <w:szCs w:val="18"/>
          <w:highlight w:val="none"/>
        </w:rPr>
        <w:t>货物</w:t>
      </w:r>
      <w:r>
        <w:rPr>
          <w:rFonts w:hint="eastAsia" w:ascii="宋体" w:hAnsi="宋体" w:eastAsia="宋体"/>
          <w:b/>
          <w:bCs/>
          <w:color w:val="auto"/>
          <w:sz w:val="24"/>
          <w:szCs w:val="18"/>
          <w:highlight w:val="none"/>
        </w:rPr>
        <w:t>需求</w:t>
      </w:r>
      <w:bookmarkEnd w:id="36"/>
      <w:bookmarkEnd w:id="37"/>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118"/>
        <w:gridCol w:w="1764"/>
        <w:gridCol w:w="1039"/>
        <w:gridCol w:w="1005"/>
        <w:gridCol w:w="1956"/>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序号</w:t>
            </w:r>
          </w:p>
        </w:tc>
        <w:tc>
          <w:tcPr>
            <w:tcW w:w="656"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货物名称</w:t>
            </w:r>
          </w:p>
        </w:tc>
        <w:tc>
          <w:tcPr>
            <w:tcW w:w="1035" w:type="pct"/>
            <w:vAlign w:val="center"/>
          </w:tcPr>
          <w:p>
            <w:pPr>
              <w:spacing w:line="360" w:lineRule="auto"/>
              <w:jc w:val="both"/>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技术参数及要求</w:t>
            </w:r>
          </w:p>
        </w:tc>
        <w:tc>
          <w:tcPr>
            <w:tcW w:w="61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数量</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（单位）</w:t>
            </w:r>
          </w:p>
        </w:tc>
        <w:tc>
          <w:tcPr>
            <w:tcW w:w="59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所属</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行业</w:t>
            </w:r>
          </w:p>
        </w:tc>
        <w:tc>
          <w:tcPr>
            <w:tcW w:w="1148"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533"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2</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3</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4</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5</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6</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7</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8</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9</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10</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bl>
    <w:p>
      <w:pPr>
        <w:spacing w:line="360" w:lineRule="auto"/>
        <w:ind w:firstLine="437"/>
        <w:outlineLvl w:val="1"/>
        <w:rPr>
          <w:rFonts w:ascii="宋体" w:hAnsi="宋体" w:eastAsia="宋体"/>
          <w:b/>
          <w:bCs/>
          <w:color w:val="auto"/>
          <w:sz w:val="24"/>
          <w:szCs w:val="18"/>
          <w:highlight w:val="none"/>
        </w:rPr>
      </w:pPr>
      <w:bookmarkStart w:id="38" w:name="_Toc4843"/>
      <w:bookmarkStart w:id="39" w:name="_Toc7421"/>
      <w:r>
        <w:rPr>
          <w:rFonts w:hint="eastAsia" w:ascii="宋体" w:hAnsi="宋体" w:eastAsia="宋体"/>
          <w:b/>
          <w:bCs/>
          <w:color w:val="auto"/>
          <w:sz w:val="24"/>
          <w:szCs w:val="18"/>
          <w:highlight w:val="none"/>
        </w:rPr>
        <w:t>三、报价要求</w:t>
      </w:r>
      <w:bookmarkEnd w:id="38"/>
      <w:bookmarkEnd w:id="39"/>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40" w:name="_Toc14698"/>
      <w:bookmarkStart w:id="41" w:name="_Toc15293"/>
      <w:r>
        <w:rPr>
          <w:rFonts w:hint="eastAsia" w:ascii="宋体" w:hAnsi="宋体" w:eastAsia="宋体"/>
          <w:b/>
          <w:bCs/>
          <w:color w:val="auto"/>
          <w:sz w:val="24"/>
          <w:szCs w:val="18"/>
          <w:highlight w:val="none"/>
        </w:rPr>
        <w:t>四、其他要求</w:t>
      </w:r>
      <w:bookmarkEnd w:id="40"/>
      <w:bookmarkEnd w:id="41"/>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2" w:name="_Toc6897"/>
      <w:bookmarkStart w:id="43" w:name="_Toc10710"/>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42"/>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43"/>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4" w:name="_Toc4328"/>
      <w:r>
        <w:rPr>
          <w:rFonts w:hint="eastAsia" w:asciiTheme="minorEastAsia" w:hAnsiTheme="minorEastAsia" w:eastAsiaTheme="minorEastAsia"/>
          <w:b/>
          <w:color w:val="auto"/>
          <w:sz w:val="28"/>
          <w:highlight w:val="none"/>
        </w:rPr>
        <w:t>第四章  评标方法和标准（最低评标价法）</w:t>
      </w:r>
      <w:bookmarkEnd w:id="44"/>
    </w:p>
    <w:p>
      <w:pPr>
        <w:spacing w:line="360" w:lineRule="auto"/>
        <w:ind w:firstLine="437"/>
        <w:outlineLvl w:val="1"/>
        <w:rPr>
          <w:rFonts w:asciiTheme="minorEastAsia" w:hAnsiTheme="minorEastAsia" w:eastAsiaTheme="minorEastAsia"/>
          <w:b/>
          <w:color w:val="auto"/>
          <w:sz w:val="24"/>
          <w:highlight w:val="none"/>
        </w:rPr>
      </w:pPr>
      <w:bookmarkStart w:id="45" w:name="_Toc22115"/>
      <w:bookmarkStart w:id="46" w:name="_Toc6560"/>
      <w:r>
        <w:rPr>
          <w:rFonts w:hint="eastAsia" w:asciiTheme="minorEastAsia" w:hAnsiTheme="minorEastAsia" w:eastAsiaTheme="minorEastAsia"/>
          <w:b/>
          <w:color w:val="auto"/>
          <w:sz w:val="24"/>
          <w:highlight w:val="none"/>
        </w:rPr>
        <w:t>一、总则</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7" w:name="_Toc28533"/>
      <w:bookmarkStart w:id="48" w:name="_Toc27343"/>
      <w:r>
        <w:rPr>
          <w:rFonts w:hint="eastAsia" w:asciiTheme="minorEastAsia" w:hAnsiTheme="minorEastAsia" w:eastAsiaTheme="minorEastAsia"/>
          <w:b/>
          <w:color w:val="auto"/>
          <w:sz w:val="24"/>
          <w:highlight w:val="none"/>
        </w:rPr>
        <w:t>二、评标方法</w:t>
      </w:r>
      <w:bookmarkEnd w:id="47"/>
      <w:bookmarkEnd w:id="48"/>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651"/>
        <w:gridCol w:w="4559"/>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49"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49"/>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0" w:name="_Toc16417"/>
      <w:r>
        <w:rPr>
          <w:rFonts w:hint="eastAsia" w:asciiTheme="minorEastAsia" w:hAnsiTheme="minorEastAsia" w:eastAsiaTheme="minorEastAsia"/>
          <w:b/>
          <w:color w:val="auto"/>
          <w:sz w:val="28"/>
          <w:highlight w:val="none"/>
        </w:rPr>
        <w:t>第四章  评标方法和标准（综合评分法）</w:t>
      </w:r>
      <w:bookmarkEnd w:id="50"/>
    </w:p>
    <w:p>
      <w:pPr>
        <w:spacing w:line="360" w:lineRule="auto"/>
        <w:ind w:firstLine="437"/>
        <w:outlineLvl w:val="1"/>
        <w:rPr>
          <w:rFonts w:asciiTheme="minorEastAsia" w:hAnsiTheme="minorEastAsia" w:eastAsiaTheme="minorEastAsia"/>
          <w:b/>
          <w:color w:val="auto"/>
          <w:sz w:val="24"/>
          <w:highlight w:val="none"/>
        </w:rPr>
      </w:pPr>
      <w:bookmarkStart w:id="51" w:name="_Toc11823"/>
      <w:bookmarkStart w:id="52" w:name="_Toc1246"/>
      <w:r>
        <w:rPr>
          <w:rFonts w:hint="eastAsia" w:asciiTheme="minorEastAsia" w:hAnsiTheme="minorEastAsia" w:eastAsiaTheme="minorEastAsia"/>
          <w:b/>
          <w:color w:val="auto"/>
          <w:sz w:val="24"/>
          <w:highlight w:val="none"/>
        </w:rPr>
        <w:t>一、总则</w:t>
      </w:r>
      <w:bookmarkEnd w:id="51"/>
      <w:bookmarkEnd w:id="5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3" w:name="_Toc13117"/>
      <w:bookmarkStart w:id="54" w:name="_Toc31871"/>
      <w:r>
        <w:rPr>
          <w:rFonts w:hint="eastAsia" w:asciiTheme="minorEastAsia" w:hAnsiTheme="minorEastAsia" w:eastAsiaTheme="minorEastAsia"/>
          <w:b/>
          <w:color w:val="auto"/>
          <w:sz w:val="24"/>
          <w:highlight w:val="none"/>
        </w:rPr>
        <w:t>二、评标方法</w:t>
      </w:r>
      <w:bookmarkEnd w:id="53"/>
      <w:bookmarkEnd w:id="54"/>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651"/>
        <w:gridCol w:w="4561"/>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5" w:name="_Toc4682"/>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5"/>
    </w:p>
    <w:p>
      <w:pPr>
        <w:pStyle w:val="2"/>
        <w:pageBreakBefore w:val="0"/>
        <w:kinsoku/>
        <w:wordWrap/>
        <w:overflowPunct/>
        <w:topLinePunct w:val="0"/>
        <w:bidi w:val="0"/>
        <w:spacing w:after="0" w:line="360" w:lineRule="auto"/>
        <w:jc w:val="both"/>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w:t>
      </w:r>
      <w:r>
        <w:rPr>
          <w:rFonts w:hint="eastAsia" w:ascii="宋体" w:hAnsi="宋体" w:eastAsia="宋体" w:cs="宋体"/>
          <w:b w:val="0"/>
          <w:bCs w:val="0"/>
          <w:i w:val="0"/>
          <w:iCs w:val="0"/>
          <w:caps w:val="0"/>
          <w:color w:val="auto"/>
          <w:spacing w:val="0"/>
          <w:sz w:val="24"/>
          <w:szCs w:val="24"/>
          <w:highlight w:val="none"/>
          <w:shd w:val="clear"/>
          <w:vertAlign w:val="baseline"/>
          <w:lang w:val="en-US" w:eastAsia="zh-CN"/>
        </w:rPr>
        <w:t>7</w:t>
      </w:r>
      <w:r>
        <w:rPr>
          <w:rFonts w:hint="eastAsia" w:ascii="宋体" w:hAnsi="宋体" w:eastAsia="宋体" w:cs="宋体"/>
          <w:b w:val="0"/>
          <w:bCs w:val="0"/>
          <w:i w:val="0"/>
          <w:iCs w:val="0"/>
          <w:caps w:val="0"/>
          <w:color w:val="auto"/>
          <w:spacing w:val="0"/>
          <w:sz w:val="24"/>
          <w:szCs w:val="24"/>
          <w:highlight w:val="none"/>
          <w:shd w:val="clear"/>
          <w:vertAlign w:val="baseline"/>
        </w:rPr>
        <w:t>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60" w:name="_Toc22492"/>
      <w:r>
        <w:rPr>
          <w:rFonts w:hint="eastAsia" w:asciiTheme="minorEastAsia" w:hAnsiTheme="minorEastAsia" w:eastAsiaTheme="minorEastAsia"/>
          <w:b/>
          <w:color w:val="auto"/>
          <w:sz w:val="28"/>
          <w:highlight w:val="none"/>
        </w:rPr>
        <w:t>第六章  投标文件格式</w:t>
      </w:r>
      <w:bookmarkEnd w:id="6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1" w:name="_Toc651"/>
      <w:r>
        <w:rPr>
          <w:rFonts w:hint="eastAsia" w:asciiTheme="minorEastAsia" w:hAnsiTheme="minorEastAsia" w:eastAsiaTheme="minorEastAsia"/>
          <w:b/>
          <w:color w:val="auto"/>
          <w:sz w:val="72"/>
          <w:highlight w:val="none"/>
        </w:rPr>
        <w:t>投</w:t>
      </w:r>
      <w:bookmarkEnd w:id="6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2" w:name="_Toc6148"/>
      <w:r>
        <w:rPr>
          <w:rFonts w:hint="eastAsia" w:asciiTheme="minorEastAsia" w:hAnsiTheme="minorEastAsia" w:eastAsiaTheme="minorEastAsia"/>
          <w:b/>
          <w:color w:val="auto"/>
          <w:sz w:val="72"/>
          <w:highlight w:val="none"/>
        </w:rPr>
        <w:t>标</w:t>
      </w:r>
      <w:bookmarkEnd w:id="6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3" w:name="_Toc1338"/>
      <w:r>
        <w:rPr>
          <w:rFonts w:hint="eastAsia" w:asciiTheme="minorEastAsia" w:hAnsiTheme="minorEastAsia" w:eastAsiaTheme="minorEastAsia"/>
          <w:b/>
          <w:color w:val="auto"/>
          <w:sz w:val="72"/>
          <w:highlight w:val="none"/>
        </w:rPr>
        <w:t>文</w:t>
      </w:r>
      <w:bookmarkEnd w:id="63"/>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64" w:name="_Toc10796"/>
      <w:r>
        <w:rPr>
          <w:rFonts w:hint="eastAsia" w:asciiTheme="minorEastAsia" w:hAnsiTheme="minorEastAsia" w:eastAsiaTheme="minorEastAsia"/>
          <w:b/>
          <w:color w:val="auto"/>
          <w:sz w:val="72"/>
          <w:highlight w:val="none"/>
        </w:rPr>
        <w:t>件</w:t>
      </w:r>
      <w:bookmarkEnd w:id="64"/>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65" w:name="_Toc32506"/>
      <w:bookmarkStart w:id="66" w:name="_Toc21832"/>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5"/>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6"/>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7" w:name="_Toc9994"/>
      <w:bookmarkStart w:id="68"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7"/>
      <w:bookmarkEnd w:id="68"/>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 w:name="_Toc5555"/>
      <w:bookmarkStart w:id="70" w:name="_Toc28960"/>
      <w:r>
        <w:rPr>
          <w:rFonts w:hint="eastAsia" w:asciiTheme="minorEastAsia" w:hAnsiTheme="minorEastAsia" w:eastAsiaTheme="minorEastAsia"/>
          <w:b/>
          <w:color w:val="auto"/>
          <w:sz w:val="24"/>
          <w:highlight w:val="none"/>
        </w:rPr>
        <w:t>一、开标一览表</w:t>
      </w:r>
      <w:bookmarkEnd w:id="69"/>
      <w:bookmarkEnd w:id="70"/>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ind w:firstLine="4320" w:firstLineChars="1800"/>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val="en-US" w:eastAsia="zh-CN"/>
        </w:rPr>
        <w:t>投标人</w:t>
      </w:r>
      <w:r>
        <w:rPr>
          <w:rFonts w:hint="eastAsia" w:asciiTheme="minorEastAsia" w:hAnsiTheme="minorEastAsia" w:eastAsiaTheme="minorEastAsia"/>
          <w:bCs/>
          <w:color w:val="auto"/>
          <w:sz w:val="24"/>
          <w:highlight w:val="none"/>
        </w:rPr>
        <w:t>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jc w:val="center"/>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     </w:t>
      </w:r>
    </w:p>
    <w:p>
      <w:pPr>
        <w:spacing w:line="360" w:lineRule="auto"/>
        <w:ind w:firstLine="360" w:firstLineChars="150"/>
        <w:rPr>
          <w:rFonts w:asciiTheme="minorEastAsia" w:hAnsiTheme="minorEastAsia" w:eastAsiaTheme="minorEastAsia"/>
          <w:color w:val="auto"/>
          <w:sz w:val="24"/>
          <w:highlight w:val="none"/>
        </w:rPr>
      </w:pP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18010"/>
      <w:bookmarkStart w:id="72" w:name="_Toc6441"/>
      <w:r>
        <w:rPr>
          <w:rFonts w:hint="eastAsia" w:asciiTheme="minorEastAsia" w:hAnsiTheme="minorEastAsia" w:eastAsiaTheme="minorEastAsia"/>
          <w:b/>
          <w:color w:val="auto"/>
          <w:sz w:val="24"/>
          <w:highlight w:val="none"/>
        </w:rPr>
        <w:t>二、投标函</w:t>
      </w:r>
      <w:bookmarkEnd w:id="71"/>
      <w:bookmarkEnd w:id="72"/>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3" w:name="_Toc1328"/>
      <w:r>
        <w:rPr>
          <w:rFonts w:hint="eastAsia" w:asciiTheme="minorEastAsia" w:hAnsiTheme="minorEastAsia" w:eastAsiaTheme="minorEastAsia"/>
          <w:b/>
          <w:color w:val="auto"/>
          <w:sz w:val="24"/>
          <w:highlight w:val="none"/>
          <w:lang w:val="en-US" w:eastAsia="zh-CN"/>
        </w:rPr>
        <w:t>三．投标人资格声明书</w:t>
      </w:r>
      <w:bookmarkEnd w:id="73"/>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bookmarkStart w:id="74"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5" w:name="_Toc16960"/>
      <w:r>
        <w:rPr>
          <w:rFonts w:hint="eastAsia" w:asciiTheme="minorEastAsia" w:hAnsiTheme="minorEastAsia" w:eastAsiaTheme="minorEastAsia"/>
          <w:b/>
          <w:color w:val="auto"/>
          <w:sz w:val="24"/>
          <w:highlight w:val="none"/>
        </w:rPr>
        <w:t>四、授权书</w:t>
      </w:r>
      <w:bookmarkEnd w:id="74"/>
      <w:bookmarkEnd w:id="75"/>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lang w:val="en-US" w:eastAsia="zh-CN"/>
        </w:rPr>
        <w:t xml:space="preserve">                            </w:t>
      </w: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pPr>
        <w:spacing w:line="360" w:lineRule="auto"/>
        <w:ind w:firstLine="435"/>
        <w:jc w:val="center"/>
        <w:rPr>
          <w:rFonts w:ascii="宋体" w:hAnsi="宋体" w:eastAsia="宋体"/>
          <w:color w:val="auto"/>
          <w:sz w:val="24"/>
          <w:szCs w:val="28"/>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6" w:name="_Toc31991"/>
      <w:bookmarkStart w:id="77" w:name="_Toc6796"/>
      <w:r>
        <w:rPr>
          <w:rFonts w:hint="eastAsia" w:asciiTheme="minorEastAsia" w:hAnsiTheme="minorEastAsia" w:eastAsiaTheme="minorEastAsia"/>
          <w:b/>
          <w:color w:val="auto"/>
          <w:sz w:val="24"/>
          <w:highlight w:val="none"/>
        </w:rPr>
        <w:t>五、投标分项报价表</w:t>
      </w:r>
      <w:bookmarkEnd w:id="76"/>
      <w:bookmarkEnd w:id="77"/>
    </w:p>
    <w:p>
      <w:pPr>
        <w:spacing w:line="360" w:lineRule="auto"/>
        <w:ind w:firstLine="435"/>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Theme="minorEastAsia" w:hAnsiTheme="minorEastAsia" w:eastAsiaTheme="minorEastAsia"/>
          <w:b/>
          <w:bCs/>
          <w:color w:val="auto"/>
          <w:sz w:val="24"/>
          <w:szCs w:val="28"/>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投标人承担全部责任。</w:t>
      </w:r>
    </w:p>
    <w:p>
      <w:pPr>
        <w:spacing w:line="360" w:lineRule="auto"/>
        <w:ind w:firstLine="435"/>
      </w:pPr>
      <w:r>
        <w:rPr>
          <w:rFonts w:hint="eastAsia" w:asciiTheme="minorEastAsia" w:hAnsiTheme="minorEastAsia" w:eastAsiaTheme="minorEastAsia"/>
          <w:color w:val="auto"/>
          <w:sz w:val="24"/>
          <w:highlight w:val="none"/>
        </w:rPr>
        <w:t>2.表中须明确列出所投产品的货物名称、品牌、型号规格、原产地及生产厂商，否则可能导致</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78" w:name="_Toc11940"/>
      <w:bookmarkStart w:id="79" w:name="_Toc20329"/>
      <w:r>
        <w:rPr>
          <w:rFonts w:hint="eastAsia" w:asciiTheme="minorEastAsia" w:hAnsiTheme="minorEastAsia" w:eastAsiaTheme="minorEastAsia"/>
          <w:b/>
          <w:color w:val="auto"/>
          <w:sz w:val="24"/>
          <w:highlight w:val="none"/>
        </w:rPr>
        <w:t>六、投标响应表</w:t>
      </w:r>
      <w:bookmarkEnd w:id="78"/>
      <w:bookmarkEnd w:id="79"/>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8"/>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招标文件规定的技术参数及要求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0" w:name="_Toc11594"/>
      <w:bookmarkStart w:id="81" w:name="_Toc3100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0"/>
      <w:bookmarkEnd w:id="81"/>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2" w:name="_Toc11380"/>
      <w:r>
        <w:rPr>
          <w:rFonts w:hint="eastAsia" w:asciiTheme="minorEastAsia" w:hAnsiTheme="minorEastAsia" w:eastAsiaTheme="minorEastAsia"/>
          <w:b/>
          <w:color w:val="auto"/>
          <w:sz w:val="24"/>
          <w:highlight w:val="none"/>
          <w:lang w:val="en-US" w:eastAsia="zh-CN"/>
        </w:rPr>
        <w:t>八．拟分包情况说明及分包意向协议</w:t>
      </w:r>
      <w:bookmarkEnd w:id="82"/>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3" w:name="_Toc9573"/>
      <w:bookmarkStart w:id="84" w:name="_Toc31244"/>
      <w:bookmarkStart w:id="85" w:name="OLE_LINK14"/>
      <w:bookmarkStart w:id="86" w:name="OLE_LINK13"/>
      <w:r>
        <w:rPr>
          <w:rFonts w:hint="eastAsia" w:asciiTheme="minorEastAsia" w:hAnsiTheme="minorEastAsia" w:eastAsiaTheme="minorEastAsia"/>
          <w:b/>
          <w:color w:val="auto"/>
          <w:sz w:val="24"/>
          <w:highlight w:val="none"/>
          <w:lang w:val="en-US" w:eastAsia="zh-CN"/>
        </w:rPr>
        <w:t>九、中小企业声明函</w:t>
      </w:r>
      <w:bookmarkEnd w:id="83"/>
      <w:bookmarkEnd w:id="84"/>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w:t>
      </w:r>
      <w:bookmarkStart w:id="111" w:name="_GoBack"/>
      <w:bookmarkEnd w:id="111"/>
      <w:r>
        <w:rPr>
          <w:rFonts w:hint="eastAsia" w:ascii="宋体" w:hAnsi="宋体" w:eastAsia="宋体" w:cs="宋体"/>
          <w:b/>
          <w:bCs/>
          <w:color w:val="auto"/>
          <w:szCs w:val="21"/>
          <w:highlight w:val="none"/>
        </w:rPr>
        <w:t>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rPr>
          <w:rFonts w:hint="eastAsia" w:asciiTheme="minorEastAsia" w:hAnsiTheme="minorEastAsia" w:eastAsiaTheme="minorEastAsia"/>
          <w:b/>
          <w:bCs/>
          <w:color w:val="auto"/>
          <w:szCs w:val="24"/>
          <w:highlight w:val="none"/>
        </w:rPr>
      </w:pPr>
      <w:r>
        <w:rPr>
          <w:rFonts w:hint="eastAsia" w:asciiTheme="minorEastAsia" w:hAnsiTheme="minorEastAsia" w:eastAsiaTheme="minorEastAsia"/>
          <w:b/>
          <w:bCs/>
          <w:color w:val="auto"/>
          <w:szCs w:val="24"/>
          <w:highlight w:val="none"/>
        </w:rPr>
        <w:br w:type="page"/>
      </w:r>
      <w:bookmarkEnd w:id="85"/>
      <w:bookmarkEnd w:id="86"/>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7" w:name="_Toc24563"/>
      <w:bookmarkStart w:id="88" w:name="_Toc16713"/>
      <w:r>
        <w:rPr>
          <w:rFonts w:hint="eastAsia" w:asciiTheme="minorEastAsia" w:hAnsiTheme="minorEastAsia" w:eastAsiaTheme="minorEastAsia"/>
          <w:b/>
          <w:color w:val="auto"/>
          <w:sz w:val="24"/>
          <w:highlight w:val="none"/>
          <w:lang w:val="en-US" w:eastAsia="zh-CN"/>
        </w:rPr>
        <w:t>十、残疾人福利性单位声明函</w:t>
      </w:r>
      <w:bookmarkEnd w:id="87"/>
      <w:bookmarkEnd w:id="88"/>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9" w:name="_Toc300210382"/>
      <w:bookmarkStart w:id="90" w:name="_Toc457768004"/>
      <w:bookmarkStart w:id="91" w:name="_Toc520299348"/>
      <w:bookmarkStart w:id="92" w:name="_Toc26536"/>
      <w:bookmarkStart w:id="93" w:name="_Toc25813"/>
      <w:bookmarkStart w:id="94" w:name="_Hlk11701496"/>
      <w:r>
        <w:rPr>
          <w:rFonts w:hint="eastAsia" w:asciiTheme="minorEastAsia" w:hAnsiTheme="minorEastAsia" w:eastAsiaTheme="minorEastAsia"/>
          <w:b/>
          <w:color w:val="auto"/>
          <w:sz w:val="24"/>
          <w:highlight w:val="none"/>
          <w:lang w:val="en-US" w:eastAsia="zh-CN"/>
        </w:rPr>
        <w:t>十一、</w:t>
      </w:r>
      <w:bookmarkEnd w:id="89"/>
      <w:bookmarkEnd w:id="90"/>
      <w:bookmarkEnd w:id="91"/>
      <w:r>
        <w:rPr>
          <w:rFonts w:hint="eastAsia" w:asciiTheme="minorEastAsia" w:hAnsiTheme="minorEastAsia" w:eastAsiaTheme="minorEastAsia"/>
          <w:b/>
          <w:color w:val="auto"/>
          <w:sz w:val="24"/>
          <w:highlight w:val="none"/>
          <w:lang w:val="en-US" w:eastAsia="zh-CN"/>
        </w:rPr>
        <w:t>诚信履约承诺函</w:t>
      </w:r>
      <w:bookmarkEnd w:id="92"/>
      <w:bookmarkEnd w:id="9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94"/>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5" w:name="_Toc32633"/>
      <w:bookmarkStart w:id="96" w:name="_Toc2683"/>
      <w:r>
        <w:rPr>
          <w:rFonts w:hint="eastAsia" w:asciiTheme="minorEastAsia" w:hAnsiTheme="minorEastAsia" w:eastAsiaTheme="minorEastAsia"/>
          <w:b/>
          <w:color w:val="auto"/>
          <w:sz w:val="24"/>
          <w:highlight w:val="none"/>
          <w:lang w:val="en-US" w:eastAsia="zh-CN"/>
        </w:rPr>
        <w:t>十二、其他相关证明材料</w:t>
      </w:r>
      <w:bookmarkEnd w:id="95"/>
      <w:bookmarkEnd w:id="9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7" w:name="_Toc18131"/>
      <w:bookmarkStart w:id="98" w:name="_Toc6435"/>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7"/>
      <w:bookmarkEnd w:id="98"/>
    </w:p>
    <w:p>
      <w:pPr>
        <w:spacing w:line="360" w:lineRule="auto"/>
        <w:jc w:val="center"/>
        <w:outlineLvl w:val="1"/>
        <w:rPr>
          <w:rFonts w:ascii="仿宋" w:hAnsi="仿宋" w:eastAsia="仿宋" w:cs="仿宋"/>
          <w:b/>
          <w:bCs/>
          <w:color w:val="auto"/>
          <w:sz w:val="32"/>
          <w:szCs w:val="44"/>
          <w:highlight w:val="none"/>
        </w:rPr>
      </w:pPr>
      <w:bookmarkStart w:id="99" w:name="_Toc27159"/>
      <w:bookmarkStart w:id="100" w:name="_Toc27489"/>
      <w:r>
        <w:rPr>
          <w:rFonts w:hint="eastAsia" w:ascii="仿宋" w:hAnsi="仿宋" w:eastAsia="仿宋" w:cs="仿宋"/>
          <w:b/>
          <w:bCs/>
          <w:color w:val="auto"/>
          <w:sz w:val="32"/>
          <w:szCs w:val="44"/>
          <w:highlight w:val="none"/>
        </w:rPr>
        <w:t>询问函范本</w:t>
      </w:r>
      <w:bookmarkEnd w:id="99"/>
      <w:bookmarkEnd w:id="10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1" w:name="_Toc13899"/>
      <w:r>
        <w:rPr>
          <w:rFonts w:hint="eastAsia" w:cs="仿宋" w:asciiTheme="minorEastAsia" w:hAnsiTheme="minorEastAsia" w:eastAsiaTheme="minorEastAsia"/>
          <w:color w:val="auto"/>
          <w:sz w:val="24"/>
          <w:szCs w:val="24"/>
          <w:highlight w:val="none"/>
        </w:rPr>
        <w:t>一、(事项一)</w:t>
      </w:r>
      <w:bookmarkEnd w:id="10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2" w:name="_Toc3352"/>
      <w:r>
        <w:rPr>
          <w:rFonts w:hint="eastAsia" w:cs="仿宋" w:asciiTheme="minorEastAsia" w:hAnsiTheme="minorEastAsia" w:eastAsiaTheme="minorEastAsia"/>
          <w:color w:val="auto"/>
          <w:sz w:val="24"/>
          <w:szCs w:val="24"/>
          <w:highlight w:val="none"/>
        </w:rPr>
        <w:t>二、(事项二)</w:t>
      </w:r>
      <w:bookmarkEnd w:id="10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3" w:name="_Toc1575"/>
      <w:bookmarkStart w:id="104" w:name="_Toc3245"/>
      <w:r>
        <w:rPr>
          <w:rFonts w:hint="eastAsia" w:ascii="仿宋" w:hAnsi="仿宋" w:eastAsia="仿宋" w:cs="仿宋"/>
          <w:b/>
          <w:bCs/>
          <w:color w:val="auto"/>
          <w:sz w:val="32"/>
          <w:szCs w:val="44"/>
          <w:highlight w:val="none"/>
        </w:rPr>
        <w:t>质疑函范本</w:t>
      </w:r>
      <w:bookmarkEnd w:id="103"/>
      <w:bookmarkEnd w:id="10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105" w:name="_Toc21381"/>
      <w:r>
        <w:rPr>
          <w:rFonts w:hint="eastAsia" w:cs="仿宋" w:asciiTheme="minorEastAsia" w:hAnsiTheme="minorEastAsia" w:eastAsiaTheme="minorEastAsia"/>
          <w:b/>
          <w:bCs/>
          <w:color w:val="auto"/>
          <w:sz w:val="24"/>
          <w:szCs w:val="24"/>
          <w:highlight w:val="none"/>
        </w:rPr>
        <w:t>一、质疑供应商基本信息</w:t>
      </w:r>
      <w:bookmarkEnd w:id="10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6" w:name="_Toc28415"/>
      <w:r>
        <w:rPr>
          <w:rFonts w:hint="eastAsia" w:cs="仿宋" w:asciiTheme="minorEastAsia" w:hAnsiTheme="minorEastAsia" w:eastAsiaTheme="minorEastAsia"/>
          <w:b/>
          <w:bCs/>
          <w:color w:val="auto"/>
          <w:sz w:val="24"/>
          <w:szCs w:val="24"/>
          <w:highlight w:val="none"/>
        </w:rPr>
        <w:t>二、质疑项目基本情况</w:t>
      </w:r>
      <w:bookmarkEnd w:id="10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7" w:name="_Toc19014"/>
      <w:r>
        <w:rPr>
          <w:rFonts w:hint="eastAsia" w:cs="仿宋" w:asciiTheme="minorEastAsia" w:hAnsiTheme="minorEastAsia" w:eastAsiaTheme="minorEastAsia"/>
          <w:b/>
          <w:bCs/>
          <w:color w:val="auto"/>
          <w:sz w:val="24"/>
          <w:szCs w:val="24"/>
          <w:highlight w:val="none"/>
        </w:rPr>
        <w:t>三、质疑事项具体内容</w:t>
      </w:r>
      <w:bookmarkEnd w:id="10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8" w:name="_Toc17919"/>
      <w:r>
        <w:rPr>
          <w:rFonts w:hint="eastAsia" w:cs="仿宋" w:asciiTheme="minorEastAsia" w:hAnsiTheme="minorEastAsia" w:eastAsiaTheme="minorEastAsia"/>
          <w:b/>
          <w:bCs/>
          <w:color w:val="auto"/>
          <w:sz w:val="24"/>
          <w:szCs w:val="24"/>
          <w:highlight w:val="none"/>
        </w:rPr>
        <w:t>四、与质疑事项相关的质疑请求</w:t>
      </w:r>
      <w:bookmarkEnd w:id="10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09" w:name="_Toc26836"/>
      <w:bookmarkStart w:id="110" w:name="_Toc9754"/>
      <w:r>
        <w:rPr>
          <w:rFonts w:hint="eastAsia" w:asciiTheme="minorEastAsia" w:hAnsiTheme="minorEastAsia" w:eastAsiaTheme="minorEastAsia"/>
          <w:b/>
          <w:color w:val="auto"/>
          <w:sz w:val="28"/>
          <w:szCs w:val="32"/>
          <w:highlight w:val="none"/>
        </w:rPr>
        <w:t>质疑函制作说明：</w:t>
      </w:r>
      <w:bookmarkEnd w:id="109"/>
      <w:bookmarkEnd w:id="11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5F65"/>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176"/>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17B1BF9"/>
    <w:rsid w:val="01E93A1B"/>
    <w:rsid w:val="0214602E"/>
    <w:rsid w:val="03486B27"/>
    <w:rsid w:val="040A094E"/>
    <w:rsid w:val="056F201D"/>
    <w:rsid w:val="05B664D4"/>
    <w:rsid w:val="064B485A"/>
    <w:rsid w:val="068C65C4"/>
    <w:rsid w:val="07076C01"/>
    <w:rsid w:val="071C12AC"/>
    <w:rsid w:val="07A934B3"/>
    <w:rsid w:val="07EB6287"/>
    <w:rsid w:val="0806421B"/>
    <w:rsid w:val="0980799C"/>
    <w:rsid w:val="09944B8E"/>
    <w:rsid w:val="0A6A18DB"/>
    <w:rsid w:val="0A975B48"/>
    <w:rsid w:val="0AEF3828"/>
    <w:rsid w:val="0B406381"/>
    <w:rsid w:val="0BB452AA"/>
    <w:rsid w:val="0BBB665B"/>
    <w:rsid w:val="0EEA6FC1"/>
    <w:rsid w:val="0F790928"/>
    <w:rsid w:val="10CD72BB"/>
    <w:rsid w:val="12197477"/>
    <w:rsid w:val="131B5CD3"/>
    <w:rsid w:val="13776448"/>
    <w:rsid w:val="1466407E"/>
    <w:rsid w:val="14834E28"/>
    <w:rsid w:val="148E7D65"/>
    <w:rsid w:val="15231BF9"/>
    <w:rsid w:val="15C4546D"/>
    <w:rsid w:val="1A064976"/>
    <w:rsid w:val="1A3B68AA"/>
    <w:rsid w:val="1A3E1C1E"/>
    <w:rsid w:val="1B6F4F40"/>
    <w:rsid w:val="1C141836"/>
    <w:rsid w:val="1C76537D"/>
    <w:rsid w:val="1E6B6A14"/>
    <w:rsid w:val="20550D9A"/>
    <w:rsid w:val="218E2416"/>
    <w:rsid w:val="226915FE"/>
    <w:rsid w:val="241804A5"/>
    <w:rsid w:val="24B97929"/>
    <w:rsid w:val="24D632D7"/>
    <w:rsid w:val="27D65DBA"/>
    <w:rsid w:val="285F40CA"/>
    <w:rsid w:val="289E1AF0"/>
    <w:rsid w:val="28C01ECB"/>
    <w:rsid w:val="29BF71E3"/>
    <w:rsid w:val="29D6387F"/>
    <w:rsid w:val="2A127B63"/>
    <w:rsid w:val="2A451A6C"/>
    <w:rsid w:val="2AAA4765"/>
    <w:rsid w:val="2AC21606"/>
    <w:rsid w:val="2B7E7608"/>
    <w:rsid w:val="2B7F04E9"/>
    <w:rsid w:val="2B8B554A"/>
    <w:rsid w:val="2D496D68"/>
    <w:rsid w:val="2E7A48DE"/>
    <w:rsid w:val="2EBA5177"/>
    <w:rsid w:val="2EDC3ED8"/>
    <w:rsid w:val="2F104B00"/>
    <w:rsid w:val="2F6351B4"/>
    <w:rsid w:val="2FC86126"/>
    <w:rsid w:val="2FCF199E"/>
    <w:rsid w:val="30483E83"/>
    <w:rsid w:val="30BF3991"/>
    <w:rsid w:val="3111619A"/>
    <w:rsid w:val="31B139DC"/>
    <w:rsid w:val="32497AF3"/>
    <w:rsid w:val="343C0775"/>
    <w:rsid w:val="356C50EC"/>
    <w:rsid w:val="36137E45"/>
    <w:rsid w:val="36376E0A"/>
    <w:rsid w:val="3700166C"/>
    <w:rsid w:val="379A1012"/>
    <w:rsid w:val="38694EE9"/>
    <w:rsid w:val="3A6818FA"/>
    <w:rsid w:val="3B365CC9"/>
    <w:rsid w:val="3B9A7B88"/>
    <w:rsid w:val="3D2C7AC8"/>
    <w:rsid w:val="3D855D12"/>
    <w:rsid w:val="3D8B42FF"/>
    <w:rsid w:val="3DE86C4C"/>
    <w:rsid w:val="3DF36A6E"/>
    <w:rsid w:val="3EBA1EE9"/>
    <w:rsid w:val="3F792F1E"/>
    <w:rsid w:val="40824826"/>
    <w:rsid w:val="40E63923"/>
    <w:rsid w:val="43A91E5B"/>
    <w:rsid w:val="449E0D39"/>
    <w:rsid w:val="45E32B26"/>
    <w:rsid w:val="463A3650"/>
    <w:rsid w:val="46461627"/>
    <w:rsid w:val="469F0116"/>
    <w:rsid w:val="475259B7"/>
    <w:rsid w:val="488302AE"/>
    <w:rsid w:val="48831CF9"/>
    <w:rsid w:val="49024C9C"/>
    <w:rsid w:val="49B1408D"/>
    <w:rsid w:val="4A7D4FD2"/>
    <w:rsid w:val="4A913C9A"/>
    <w:rsid w:val="4B1F70AC"/>
    <w:rsid w:val="4B240F94"/>
    <w:rsid w:val="4C0832E5"/>
    <w:rsid w:val="4C3C565C"/>
    <w:rsid w:val="4CCC79C7"/>
    <w:rsid w:val="4D7555C7"/>
    <w:rsid w:val="4EAE6DA0"/>
    <w:rsid w:val="4FE617D9"/>
    <w:rsid w:val="5016514B"/>
    <w:rsid w:val="50BD4DF3"/>
    <w:rsid w:val="50FC1A26"/>
    <w:rsid w:val="51723664"/>
    <w:rsid w:val="51CB1C78"/>
    <w:rsid w:val="51FD6A51"/>
    <w:rsid w:val="526B680A"/>
    <w:rsid w:val="52836F71"/>
    <w:rsid w:val="52D26B02"/>
    <w:rsid w:val="541A5D30"/>
    <w:rsid w:val="55C1559C"/>
    <w:rsid w:val="55F068CD"/>
    <w:rsid w:val="566C3136"/>
    <w:rsid w:val="568D04F2"/>
    <w:rsid w:val="5A526582"/>
    <w:rsid w:val="5A5F5C77"/>
    <w:rsid w:val="5A711A0D"/>
    <w:rsid w:val="5B1613E4"/>
    <w:rsid w:val="5B78003B"/>
    <w:rsid w:val="5BC11A60"/>
    <w:rsid w:val="5C7A4D54"/>
    <w:rsid w:val="5CD23B73"/>
    <w:rsid w:val="5F127819"/>
    <w:rsid w:val="60350ED3"/>
    <w:rsid w:val="60B72AEE"/>
    <w:rsid w:val="61025188"/>
    <w:rsid w:val="61057D5F"/>
    <w:rsid w:val="6126068F"/>
    <w:rsid w:val="614D4977"/>
    <w:rsid w:val="63C60FC0"/>
    <w:rsid w:val="64BA3D7A"/>
    <w:rsid w:val="64F179BC"/>
    <w:rsid w:val="665704D3"/>
    <w:rsid w:val="67C065A4"/>
    <w:rsid w:val="67D359C9"/>
    <w:rsid w:val="68042537"/>
    <w:rsid w:val="68FE36DD"/>
    <w:rsid w:val="694E60FC"/>
    <w:rsid w:val="6A256904"/>
    <w:rsid w:val="6B656832"/>
    <w:rsid w:val="6C675CE6"/>
    <w:rsid w:val="6D4F4321"/>
    <w:rsid w:val="6DF41B82"/>
    <w:rsid w:val="6DFF7360"/>
    <w:rsid w:val="6E7A5F73"/>
    <w:rsid w:val="6EE90F9D"/>
    <w:rsid w:val="6FD74228"/>
    <w:rsid w:val="7021106F"/>
    <w:rsid w:val="71633091"/>
    <w:rsid w:val="73081CA5"/>
    <w:rsid w:val="74201F7D"/>
    <w:rsid w:val="7487762D"/>
    <w:rsid w:val="74C33AA4"/>
    <w:rsid w:val="75210D7A"/>
    <w:rsid w:val="75385498"/>
    <w:rsid w:val="75F37776"/>
    <w:rsid w:val="76BC207F"/>
    <w:rsid w:val="76EB4904"/>
    <w:rsid w:val="77645DCD"/>
    <w:rsid w:val="777378F5"/>
    <w:rsid w:val="777A2D3C"/>
    <w:rsid w:val="79074B81"/>
    <w:rsid w:val="794F0939"/>
    <w:rsid w:val="79AF0FCA"/>
    <w:rsid w:val="7AF9279C"/>
    <w:rsid w:val="7CC51958"/>
    <w:rsid w:val="7CD53DF9"/>
    <w:rsid w:val="7D097C86"/>
    <w:rsid w:val="7E2936C3"/>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7"/>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2"/>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4"/>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99"/>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5"/>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Char"/>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autoRedefine/>
    <w:qFormat/>
    <w:uiPriority w:val="99"/>
    <w:rPr>
      <w:rFonts w:ascii="@仿宋_GB2312" w:hAnsi="@仿宋_GB2312" w:eastAsia="@仿宋_GB2312" w:cs="@仿宋_GB2312"/>
      <w:sz w:val="18"/>
      <w:szCs w:val="18"/>
    </w:rPr>
  </w:style>
  <w:style w:type="character" w:customStyle="1" w:styleId="33">
    <w:name w:val="页脚 Char"/>
    <w:basedOn w:val="24"/>
    <w:link w:val="14"/>
    <w:autoRedefine/>
    <w:qFormat/>
    <w:uiPriority w:val="99"/>
    <w:rPr>
      <w:rFonts w:ascii="@仿宋_GB2312" w:hAnsi="@仿宋_GB2312" w:eastAsia="@仿宋_GB2312" w:cs="@仿宋_GB2312"/>
      <w:sz w:val="18"/>
      <w:szCs w:val="18"/>
    </w:rPr>
  </w:style>
  <w:style w:type="character" w:customStyle="1" w:styleId="34">
    <w:name w:val="纯文本 Char"/>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Char"/>
    <w:link w:val="12"/>
    <w:autoRedefine/>
    <w:qFormat/>
    <w:uiPriority w:val="0"/>
    <w:rPr>
      <w:rFonts w:ascii="Arial" w:hAnsi="Arial" w:eastAsia="宋体" w:cs="Arial"/>
      <w:b/>
      <w:sz w:val="28"/>
      <w:szCs w:val="20"/>
    </w:rPr>
  </w:style>
  <w:style w:type="character" w:customStyle="1" w:styleId="42">
    <w:name w:val="纯文本 Char1"/>
    <w:autoRedefine/>
    <w:qFormat/>
    <w:locked/>
    <w:uiPriority w:val="99"/>
    <w:rPr>
      <w:rFonts w:ascii="Arial" w:hAnsi="Arial" w:eastAsia="Arial"/>
      <w:kern w:val="2"/>
      <w:sz w:val="21"/>
      <w:lang w:val="en-US" w:eastAsia="zh-CN" w:bidi="ar-SA"/>
    </w:rPr>
  </w:style>
  <w:style w:type="character" w:customStyle="1" w:styleId="43">
    <w:name w:val="批注文字 Char"/>
    <w:basedOn w:val="24"/>
    <w:autoRedefine/>
    <w:semiHidden/>
    <w:qFormat/>
    <w:uiPriority w:val="99"/>
    <w:rPr>
      <w:rFonts w:ascii="@仿宋_GB2312" w:hAnsi="@仿宋_GB2312" w:eastAsia="@仿宋_GB2312" w:cs="@仿宋_GB2312"/>
      <w:szCs w:val="20"/>
    </w:rPr>
  </w:style>
  <w:style w:type="character" w:customStyle="1" w:styleId="44">
    <w:name w:val="批注文字 Char1"/>
    <w:link w:val="8"/>
    <w:autoRedefine/>
    <w:qFormat/>
    <w:uiPriority w:val="0"/>
    <w:rPr>
      <w:rFonts w:ascii="Arial" w:hAnsi="Arial" w:eastAsia="黑体" w:cs="Arial"/>
      <w:szCs w:val="20"/>
    </w:rPr>
  </w:style>
  <w:style w:type="character" w:customStyle="1" w:styleId="45">
    <w:name w:val="标题 1 Char"/>
    <w:basedOn w:val="24"/>
    <w:link w:val="3"/>
    <w:autoRedefine/>
    <w:qFormat/>
    <w:uiPriority w:val="9"/>
    <w:rPr>
      <w:rFonts w:ascii="@仿宋_GB2312" w:hAnsi="@仿宋_GB2312" w:eastAsia="@仿宋_GB2312" w:cs="@仿宋_GB2312"/>
      <w:b/>
      <w:bCs/>
      <w:kern w:val="44"/>
      <w:sz w:val="44"/>
      <w:szCs w:val="44"/>
    </w:rPr>
  </w:style>
  <w:style w:type="paragraph" w:customStyle="1" w:styleId="46">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7">
    <w:name w:val="标题 3 Char"/>
    <w:basedOn w:val="24"/>
    <w:link w:val="5"/>
    <w:autoRedefine/>
    <w:semiHidden/>
    <w:qFormat/>
    <w:uiPriority w:val="9"/>
    <w:rPr>
      <w:rFonts w:ascii="@仿宋_GB2312" w:hAnsi="@仿宋_GB2312" w:eastAsia="@仿宋_GB2312" w:cs="@仿宋_GB2312"/>
      <w:b/>
      <w:bCs/>
      <w:sz w:val="32"/>
      <w:szCs w:val="32"/>
    </w:rPr>
  </w:style>
  <w:style w:type="character" w:customStyle="1" w:styleId="48">
    <w:name w:val="fontstyle01"/>
    <w:basedOn w:val="24"/>
    <w:autoRedefine/>
    <w:qFormat/>
    <w:uiPriority w:val="0"/>
    <w:rPr>
      <w:rFonts w:hint="eastAsia" w:ascii="宋体" w:hAnsi="宋体" w:eastAsia="宋体"/>
      <w:color w:val="000000"/>
      <w:sz w:val="22"/>
      <w:szCs w:val="22"/>
    </w:rPr>
  </w:style>
  <w:style w:type="character" w:customStyle="1" w:styleId="49">
    <w:name w:val="fontstyle21"/>
    <w:basedOn w:val="24"/>
    <w:autoRedefine/>
    <w:qFormat/>
    <w:uiPriority w:val="0"/>
    <w:rPr>
      <w:rFonts w:hint="default" w:ascii="TimesNewRomanPSMT" w:hAnsi="TimesNewRomanPSMT"/>
      <w:color w:val="000000"/>
      <w:sz w:val="22"/>
      <w:szCs w:val="22"/>
    </w:rPr>
  </w:style>
  <w:style w:type="character" w:customStyle="1" w:styleId="50">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1">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2">
    <w:name w:val="标题 4 Char1"/>
    <w:link w:val="6"/>
    <w:autoRedefine/>
    <w:qFormat/>
    <w:uiPriority w:val="0"/>
    <w:rPr>
      <w:rFonts w:ascii="@仿宋_GB2312" w:hAnsi="@仿宋_GB2312" w:eastAsia="@仿宋_GB2312" w:cs="@仿宋_GB2312"/>
      <w:b/>
      <w:bCs/>
      <w:sz w:val="28"/>
      <w:szCs w:val="28"/>
    </w:rPr>
  </w:style>
  <w:style w:type="character" w:customStyle="1" w:styleId="53">
    <w:name w:val="标题 4 Char"/>
    <w:autoRedefine/>
    <w:qFormat/>
    <w:uiPriority w:val="0"/>
    <w:rPr>
      <w:rFonts w:ascii="Arial" w:hAnsi="Arial" w:eastAsia="Arial"/>
      <w:b/>
      <w:bCs/>
      <w:kern w:val="2"/>
      <w:sz w:val="28"/>
      <w:szCs w:val="28"/>
      <w:lang w:val="en-US" w:eastAsia="zh-CN" w:bidi="ar-SA"/>
    </w:rPr>
  </w:style>
  <w:style w:type="table" w:customStyle="1" w:styleId="54">
    <w:name w:val="网格型1"/>
    <w:basedOn w:val="2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5">
    <w:name w:val="批注主题 Char"/>
    <w:basedOn w:val="44"/>
    <w:link w:val="20"/>
    <w:autoRedefine/>
    <w:semiHidden/>
    <w:qFormat/>
    <w:uiPriority w:val="99"/>
    <w:rPr>
      <w:rFonts w:ascii="@仿宋_GB2312" w:hAnsi="@仿宋_GB2312" w:eastAsia="@仿宋_GB2312" w:cs="@仿宋_GB2312"/>
      <w:b/>
      <w:bCs/>
      <w:szCs w:val="20"/>
    </w:rPr>
  </w:style>
  <w:style w:type="table" w:customStyle="1" w:styleId="56">
    <w:name w:val="Table Normal"/>
    <w:autoRedefine/>
    <w:semiHidden/>
    <w:unhideWhenUsed/>
    <w:qFormat/>
    <w:uiPriority w:val="0"/>
    <w:tblPr>
      <w:tblCellMar>
        <w:top w:w="0" w:type="dxa"/>
        <w:left w:w="0" w:type="dxa"/>
        <w:bottom w:w="0" w:type="dxa"/>
        <w:right w:w="0" w:type="dxa"/>
      </w:tblCellMar>
    </w:tblPr>
  </w:style>
  <w:style w:type="paragraph" w:customStyle="1" w:styleId="57">
    <w:name w:val="Table Text"/>
    <w:basedOn w:val="1"/>
    <w:autoRedefine/>
    <w:semiHidden/>
    <w:qFormat/>
    <w:uiPriority w:val="0"/>
    <w:rPr>
      <w:rFonts w:ascii="Arial" w:hAnsi="Arial" w:eastAsia="Arial" w:cs="Arial"/>
      <w:sz w:val="21"/>
      <w:szCs w:val="21"/>
      <w:lang w:val="en-US" w:eastAsia="en-US" w:bidi="ar-SA"/>
    </w:rPr>
  </w:style>
  <w:style w:type="paragraph" w:customStyle="1" w:styleId="58">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59</Pages>
  <Words>25985</Words>
  <Characters>27046</Characters>
  <Lines>244</Lines>
  <Paragraphs>68</Paragraphs>
  <TotalTime>10</TotalTime>
  <ScaleCrop>false</ScaleCrop>
  <LinksUpToDate>false</LinksUpToDate>
  <CharactersWithSpaces>30613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2019-12-07T15:18:00Z</cp:lastPrinted>
  <dcterms:modified xsi:type="dcterms:W3CDTF">2024-05-31T09:20:09Z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1ECEA165F94845FFAF35C1C96E4FB9B0_12</vt:lpwstr>
  </property>
</Properties>
</file>